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A7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8B10A7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8B10A7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8B10A7" w:rsidRPr="00E82321" w:rsidRDefault="0078020E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b/>
          <w:color w:val="516D7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44"/>
          <w:szCs w:val="44"/>
          <w:lang w:eastAsia="ru-RU"/>
        </w:rPr>
        <w:t xml:space="preserve">           </w:t>
      </w:r>
      <w:r w:rsidR="00E82321">
        <w:rPr>
          <w:rFonts w:ascii="Times New Roman" w:eastAsia="Times New Roman" w:hAnsi="Times New Roman" w:cs="Times New Roman"/>
          <w:color w:val="516D7B"/>
          <w:sz w:val="44"/>
          <w:szCs w:val="44"/>
          <w:lang w:eastAsia="ru-RU"/>
        </w:rPr>
        <w:t xml:space="preserve">     </w:t>
      </w:r>
      <w:bookmarkStart w:id="0" w:name="_GoBack"/>
      <w:r w:rsidR="008B10A7" w:rsidRPr="00E82321">
        <w:rPr>
          <w:rFonts w:ascii="Times New Roman" w:eastAsia="Times New Roman" w:hAnsi="Times New Roman" w:cs="Times New Roman"/>
          <w:b/>
          <w:color w:val="516D7B"/>
          <w:sz w:val="32"/>
          <w:szCs w:val="32"/>
          <w:lang w:eastAsia="ru-RU"/>
        </w:rPr>
        <w:t>Всемирный день борьбы с остеопорозом</w:t>
      </w:r>
      <w:bookmarkEnd w:id="0"/>
      <w:r w:rsidR="008B10A7" w:rsidRPr="00E82321">
        <w:rPr>
          <w:rFonts w:ascii="Times New Roman" w:eastAsia="Times New Roman" w:hAnsi="Times New Roman" w:cs="Times New Roman"/>
          <w:b/>
          <w:color w:val="516D7B"/>
          <w:sz w:val="32"/>
          <w:szCs w:val="32"/>
          <w:lang w:eastAsia="ru-RU"/>
        </w:rPr>
        <w:t>.</w:t>
      </w:r>
    </w:p>
    <w:p w:rsidR="008B10A7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стеопороз – это прогрессирующее системное заболевание, при котором поражается скелет человека, снижается плотность и нарушается структура костной ткани.</w:t>
      </w:r>
    </w:p>
    <w:p w:rsidR="00E85EA2" w:rsidRPr="00E77B7D" w:rsidRDefault="00E85EA2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</w:p>
    <w:p w:rsidR="00E85EA2" w:rsidRPr="00E77B7D" w:rsidRDefault="004C06D2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inline distT="0" distB="0" distL="0" distR="0">
            <wp:extent cx="3419475" cy="2295525"/>
            <wp:effectExtent l="19050" t="0" r="9525" b="0"/>
            <wp:docPr id="7" name="Рисунок 1" descr="Нарушение структуры костной ткани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е структуры костной ткани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EA2" w:rsidRPr="00E77B7D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inline distT="0" distB="0" distL="0" distR="0">
            <wp:extent cx="3400425" cy="3200400"/>
            <wp:effectExtent l="19050" t="0" r="9525" b="0"/>
            <wp:docPr id="2" name="Рисунок 2" descr="Нарушение структуры костной ткани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ушение структуры костной ткани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A2" w:rsidRPr="00E77B7D" w:rsidRDefault="008B10A7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>нарушение структуры костной ткани при остеопорозе</w:t>
      </w:r>
    </w:p>
    <w:p w:rsidR="00E85EA2" w:rsidRPr="00E77B7D" w:rsidRDefault="00957A61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ри остеопорозе нарушается сложная костная архитектура, кость становится рыхлой и подвержена переломам даже при незначительных нагрузках.</w:t>
      </w:r>
    </w:p>
    <w:p w:rsidR="00E85EA2" w:rsidRPr="00E77B7D" w:rsidRDefault="008B10A7" w:rsidP="00E85EA2">
      <w:pPr>
        <w:numPr>
          <w:ilvl w:val="0"/>
          <w:numId w:val="1"/>
        </w:numPr>
        <w:shd w:val="clear" w:color="auto" w:fill="F3F3F3"/>
        <w:spacing w:after="0" w:line="300" w:lineRule="atLeast"/>
        <w:ind w:left="375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>постклимактерический остеопороз</w:t>
      </w:r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– остеопороз,  </w:t>
      </w:r>
      <w:proofErr w:type="gramStart"/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связанн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ый</w:t>
      </w:r>
      <w:proofErr w:type="gramEnd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 снижением продукции женских половых гормонов.</w:t>
      </w:r>
    </w:p>
    <w:p w:rsidR="00E85EA2" w:rsidRPr="00E77B7D" w:rsidRDefault="008B10A7" w:rsidP="00E85EA2">
      <w:pPr>
        <w:numPr>
          <w:ilvl w:val="0"/>
          <w:numId w:val="1"/>
        </w:numPr>
        <w:shd w:val="clear" w:color="auto" w:fill="F3F3F3"/>
        <w:spacing w:after="0" w:line="300" w:lineRule="atLeast"/>
        <w:ind w:left="375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>старческий  остеопороз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–</w:t>
      </w:r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остеопороз, связанный с общим старением и изнашиванием организма, уменьшением массы и прочности скелета после 65 лет.</w:t>
      </w:r>
    </w:p>
    <w:p w:rsidR="00E85EA2" w:rsidRPr="00E77B7D" w:rsidRDefault="008B10A7" w:rsidP="00E85EA2">
      <w:pPr>
        <w:numPr>
          <w:ilvl w:val="0"/>
          <w:numId w:val="1"/>
        </w:numPr>
        <w:shd w:val="clear" w:color="auto" w:fill="F3F3F3"/>
        <w:spacing w:after="0" w:line="300" w:lineRule="atLeast"/>
        <w:ind w:left="375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lastRenderedPageBreak/>
        <w:t>кортикостероидный</w:t>
      </w:r>
      <w:proofErr w:type="gramEnd"/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 xml:space="preserve"> остеопороз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–</w:t>
      </w:r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возникает при длительном применении гормонов (</w:t>
      </w:r>
      <w:proofErr w:type="spell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глюкокортикоидов</w:t>
      </w:r>
      <w:proofErr w:type="spellEnd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).</w:t>
      </w:r>
    </w:p>
    <w:p w:rsidR="00E85EA2" w:rsidRPr="00E77B7D" w:rsidRDefault="008B10A7" w:rsidP="00E85EA2">
      <w:pPr>
        <w:numPr>
          <w:ilvl w:val="0"/>
          <w:numId w:val="1"/>
        </w:numPr>
        <w:shd w:val="clear" w:color="auto" w:fill="F3F3F3"/>
        <w:spacing w:after="0" w:line="300" w:lineRule="atLeast"/>
        <w:ind w:left="375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>вторичный</w:t>
      </w:r>
      <w:proofErr w:type="gramEnd"/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 xml:space="preserve"> остеопороз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  - </w:t>
      </w:r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возникает как осложнение при сахарном диабете, онкологических заболеваниях, хронической почечной </w:t>
      </w:r>
      <w:r w:rsidR="00D5358B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недостаточности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, заболеваниях легких, гипертиреозе, гипотиреозе, </w:t>
      </w:r>
      <w:proofErr w:type="spell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гиперпаратиреозе</w:t>
      </w:r>
      <w:proofErr w:type="spellEnd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, </w:t>
      </w:r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недостатке кальция, ревматоидном артрите, болезни </w:t>
      </w:r>
      <w:proofErr w:type="spell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бехтерева</w:t>
      </w:r>
      <w:proofErr w:type="spellEnd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, хроническом гепатите, болезни крона, длительном приеме препаратов алюминия.</w:t>
      </w:r>
    </w:p>
    <w:p w:rsidR="00E85EA2" w:rsidRPr="00517DAD" w:rsidRDefault="00517DAD" w:rsidP="00E85EA2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17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</w:t>
      </w:r>
      <w:r w:rsidR="008B10A7" w:rsidRPr="00517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ричины остеопороза</w:t>
      </w:r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развитии остеопороза играет роль нарушение равновесия 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в </w:t>
      </w:r>
      <w:proofErr w:type="spell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ремодулировании</w:t>
      </w:r>
      <w:proofErr w:type="spellEnd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костной ткани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процессе постоянного обновления костной ткани участвуют кле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тки – остеокласты и остеобласты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один остеокласт разрушает столько костной массы, ско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лько формирует 100 остеобластов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для заполнения (минерализации) костных лакун, вызванных остеокластами за 10 суток о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стеобластам требуется 80 суток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при повышении активности остеокластов (по разным </w:t>
      </w:r>
      <w:proofErr w:type="gramStart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причинам) </w:t>
      </w:r>
      <w:proofErr w:type="gramEnd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разрушение костной ткани происход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ит быстрее, чем ее формирование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истончаются и перфорируются </w:t>
      </w:r>
      <w:proofErr w:type="spellStart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трабекулярные</w:t>
      </w:r>
      <w:proofErr w:type="spellEnd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пластинки, происходит деструкция горизонтальных связей, увеличивается ломкость кости, хрупкость – что грозит переломами костей.</w:t>
      </w:r>
    </w:p>
    <w:p w:rsidR="00E85EA2" w:rsidRPr="00E77B7D" w:rsidRDefault="00E85EA2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i/>
          <w:iCs/>
          <w:noProof/>
          <w:color w:val="516D7B"/>
          <w:sz w:val="24"/>
          <w:szCs w:val="24"/>
          <w:lang w:eastAsia="ru-RU"/>
        </w:rPr>
        <w:drawing>
          <wp:inline distT="0" distB="0" distL="0" distR="0">
            <wp:extent cx="4305300" cy="2486025"/>
            <wp:effectExtent l="19050" t="0" r="0" b="0"/>
            <wp:docPr id="3" name="Рисунок 3" descr="Измененные при остеопорозе позвонки и компрессионный перелом тела позв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ные при остеопорозе позвонки и компрессионный перелом тела позво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A2" w:rsidRPr="00E77B7D" w:rsidRDefault="008B10A7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i/>
          <w:iCs/>
          <w:color w:val="516D7B"/>
          <w:sz w:val="24"/>
          <w:szCs w:val="24"/>
          <w:lang w:eastAsia="ru-RU"/>
        </w:rPr>
        <w:t>измененные при остеопорозе позвонки и компрессионный перелом тела позвонка.</w:t>
      </w:r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норме пик набора  костной массы приходится на 16 лет, формирование к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ости преобладает над резорбцией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30 – 50 лет формирование и резорбция происходи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т примерно одинаковыми темпами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 возрастом ускоряются п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роцессы резорбции костной ткани,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ежегодна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я потеря костной массы до 50 лет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0,5 – 1%, в первый год после менопаузы – 10%, далее 2 – 5%.</w:t>
      </w:r>
      <w:proofErr w:type="gramEnd"/>
    </w:p>
    <w:p w:rsidR="004C06D2" w:rsidRPr="00517DAD" w:rsidRDefault="00517DAD" w:rsidP="004C06D2">
      <w:pPr>
        <w:shd w:val="clear" w:color="auto" w:fill="F3F3F3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17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</w:t>
      </w:r>
      <w:r w:rsidR="008B10A7" w:rsidRPr="00517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акторы риска развития остеопороза:</w:t>
      </w:r>
    </w:p>
    <w:p w:rsidR="00E85EA2" w:rsidRPr="00E77B7D" w:rsidRDefault="00517DAD" w:rsidP="004C06D2">
      <w:pPr>
        <w:shd w:val="clear" w:color="auto" w:fill="F3F3F3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E9A9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женский  пол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семейные  случаи остеопороза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пожилой возраст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нарушение менструального цикла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малоподвижный образ жизни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применение кортикостероидных гормонов, антиконвульсантов, гепарина, тироксина, </w:t>
      </w:r>
      <w:proofErr w:type="spellStart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антацидн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ых</w:t>
      </w:r>
      <w:proofErr w:type="spellEnd"/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средств, содержащих алюминий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низкий рост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тонкие кости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низкий вес</w:t>
      </w:r>
      <w:proofErr w:type="gramEnd"/>
    </w:p>
    <w:p w:rsidR="00E85EA2" w:rsidRPr="00E77B7D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модифицируемые факторы риска – (можно на них повлиять):</w:t>
      </w:r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курение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злоупотребление алкоголем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-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кофеином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малоподвижный образ жизни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малое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употребление молочных продуктов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недо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статочное употребление кальция,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дефицит витамина д3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 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избыточное потребление мяса</w:t>
      </w:r>
    </w:p>
    <w:p w:rsidR="00E85EA2" w:rsidRPr="00517DAD" w:rsidRDefault="00517DAD" w:rsidP="00E85EA2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</w:t>
      </w:r>
      <w:r w:rsidR="008B10A7" w:rsidRPr="00517D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имптомы остеопороза</w:t>
      </w:r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пасность клинической картины связана с бессимптомным или </w:t>
      </w:r>
      <w:proofErr w:type="spellStart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малосимптомным</w:t>
      </w:r>
      <w:proofErr w:type="spellEnd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началом остеопороза, маскирующимся под остеохондроз 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позвоночника и артрозы суставов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заболевание часто диагности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руется уже при наличии перелома,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а переломы могут возникать при минимальной травме, поднятии тяжести.</w:t>
      </w:r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З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аметить заболевание на ранней стадии достаточно сложно, хотя</w:t>
      </w:r>
      <w:r w:rsidR="002F01DE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существует несколько признаков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: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изменения в осанке, боли в костях при изменении погоды, хрупкие но</w:t>
      </w:r>
      <w:r w:rsidR="002F01DE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гти и волосы, разрушение зубов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наиболее чувствительны к заболеванию позвоночник, шейк</w:t>
      </w:r>
      <w:r w:rsidR="002F01DE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 бедра, кости рук и запястье. П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ервыми симптомами остеопороза могут быть боли в поясничном и грудном отделах позвоночника при длительной статической нагрузке (например, сидячей работе), ночные судороги в ногах, хрупкость ногтей, старческая сутулость, уменьшение роста (за счет уменьшения высоты позвонков), явления пародонтоза.</w:t>
      </w:r>
    </w:p>
    <w:p w:rsidR="00E85EA2" w:rsidRPr="008B10A7" w:rsidRDefault="00E85EA2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8B10A7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lastRenderedPageBreak/>
        <w:drawing>
          <wp:inline distT="0" distB="0" distL="0" distR="0">
            <wp:extent cx="2390775" cy="2200275"/>
            <wp:effectExtent l="19050" t="0" r="9525" b="0"/>
            <wp:docPr id="4" name="Рисунок 4" descr="Симптомы остеоп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птомы остеопороз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A2" w:rsidRPr="008B10A7" w:rsidRDefault="008B10A7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1"/>
          <w:szCs w:val="21"/>
          <w:lang w:eastAsia="ru-RU"/>
        </w:rPr>
      </w:pPr>
      <w:r w:rsidRPr="008B10A7">
        <w:rPr>
          <w:rFonts w:ascii="Times New Roman" w:eastAsia="Times New Roman" w:hAnsi="Times New Roman" w:cs="Times New Roman"/>
          <w:i/>
          <w:iCs/>
          <w:color w:val="516D7B"/>
          <w:sz w:val="21"/>
          <w:lang w:eastAsia="ru-RU"/>
        </w:rPr>
        <w:t>изменение осанки при остеопорозе</w:t>
      </w:r>
    </w:p>
    <w:p w:rsidR="00E85EA2" w:rsidRPr="00E77B7D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постоянные боли в спине, пояснице, межлопаточной области мо</w:t>
      </w:r>
      <w:r w:rsidR="002F01DE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гут быть симптомами остеопороза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при наличии болей, уменьшении роста, изменении осанки нужно проконсультироваться у врача, обследоваться на наличие остеопороза.</w:t>
      </w:r>
    </w:p>
    <w:p w:rsidR="00E85EA2" w:rsidRPr="002F01DE" w:rsidRDefault="002F01DE" w:rsidP="00E85EA2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  <w:r w:rsidR="008B10A7" w:rsidRPr="002F01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иагностика остеопороза:</w:t>
      </w:r>
    </w:p>
    <w:p w:rsidR="00E85EA2" w:rsidRPr="008B10A7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- рентгенография костей, позвоночника</w:t>
      </w:r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br/>
        <w:t xml:space="preserve">- </w:t>
      </w:r>
      <w:proofErr w:type="spellStart"/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остеоденситометрия</w:t>
      </w:r>
      <w:proofErr w:type="spellEnd"/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– </w:t>
      </w:r>
      <w:proofErr w:type="spellStart"/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двухэнергетическая</w:t>
      </w:r>
      <w:proofErr w:type="spellEnd"/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ре</w:t>
      </w:r>
      <w:r w:rsidR="002F01DE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нтгеновская денситометрия</w:t>
      </w:r>
      <w:r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, количественная компьютерная томография, ультразвуковая денситометрия.</w:t>
      </w:r>
    </w:p>
    <w:p w:rsidR="00E85EA2" w:rsidRPr="008B10A7" w:rsidRDefault="002F01DE" w:rsidP="00C316DC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В</w:t>
      </w:r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ылечить </w:t>
      </w:r>
      <w:proofErr w:type="gramStart"/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обнаруженный</w:t>
      </w:r>
      <w:proofErr w:type="gramEnd"/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остеопороз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полностью невозможно,</w:t>
      </w:r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можно лишь улучшить состояние костной системы препаратами, влияющими на усвоение и всасывание кальция, и самими препаратами кальция.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E9A955"/>
          <w:sz w:val="24"/>
          <w:szCs w:val="24"/>
          <w:lang w:eastAsia="ru-RU"/>
        </w:rPr>
        <w:t>Д</w:t>
      </w:r>
      <w:r w:rsidR="008B10A7" w:rsidRPr="008B10A7">
        <w:rPr>
          <w:rFonts w:ascii="Times New Roman" w:eastAsia="Times New Roman" w:hAnsi="Times New Roman" w:cs="Times New Roman"/>
          <w:b/>
          <w:bCs/>
          <w:color w:val="E9A955"/>
          <w:sz w:val="24"/>
          <w:szCs w:val="24"/>
          <w:lang w:eastAsia="ru-RU"/>
        </w:rPr>
        <w:t>иета при остеопорозе</w:t>
      </w:r>
    </w:p>
    <w:p w:rsidR="00E85EA2" w:rsidRPr="008B10A7" w:rsidRDefault="00E85EA2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8B10A7">
        <w:rPr>
          <w:rFonts w:ascii="Times New Roman" w:eastAsia="Times New Roman" w:hAnsi="Times New Roman" w:cs="Times New Roman"/>
          <w:noProof/>
          <w:color w:val="516D7B"/>
          <w:sz w:val="24"/>
          <w:szCs w:val="24"/>
          <w:lang w:eastAsia="ru-RU"/>
        </w:rPr>
        <w:drawing>
          <wp:inline distT="0" distB="0" distL="0" distR="0">
            <wp:extent cx="3533775" cy="2362200"/>
            <wp:effectExtent l="19050" t="0" r="9525" b="0"/>
            <wp:docPr id="5" name="Рисунок 5" descr="Диета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ета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A2" w:rsidRPr="008B10A7" w:rsidRDefault="002F01DE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Д</w:t>
      </w:r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ля правильного питания, прежде всего, необходимо употреблять продукты,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содержащие кальций и витамин d,</w:t>
      </w:r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это разнообразные молочные продукты (аллергикам можно использовать соевое, козье или ореховое молоко), рыбу, зел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ень, капусту, брокколи, орехи. В</w:t>
      </w:r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итамин d содержит</w:t>
      </w:r>
      <w:r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ся в рыбе, рыбьем жире, желтке </w:t>
      </w:r>
      <w:r w:rsidR="008B10A7" w:rsidRPr="008B10A7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помимо этого, лучи солнца так же способствуют выработке витамина d.</w:t>
      </w:r>
    </w:p>
    <w:p w:rsidR="00E82321" w:rsidRDefault="00E82321" w:rsidP="00E85EA2">
      <w:pPr>
        <w:shd w:val="clear" w:color="auto" w:fill="F3F3F3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5EA2" w:rsidRPr="002F01DE" w:rsidRDefault="002F01DE" w:rsidP="00E85EA2">
      <w:pPr>
        <w:shd w:val="clear" w:color="auto" w:fill="F3F3F3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Л</w:t>
      </w:r>
      <w:r w:rsidR="008B10A7" w:rsidRPr="002F01D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ечебная физкультура при остеопорозе</w:t>
      </w:r>
    </w:p>
    <w:p w:rsidR="00E85EA2" w:rsidRPr="00E77B7D" w:rsidRDefault="002F01DE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изическая активность должна включать ходьбу,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которая дает нагрузку на кости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важно отметить, что плавание не способствует укреплению кости, поскольку невесомое состояние тела в воде не приводит к возникновению необходимого усилия на костные структуры.</w:t>
      </w:r>
    </w:p>
    <w:p w:rsidR="00E85EA2" w:rsidRPr="00E77B7D" w:rsidRDefault="002F01DE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дно из упражнений для укрепления костей, которое нужно выполнять систематически:</w:t>
      </w:r>
    </w:p>
    <w:p w:rsidR="00E85EA2" w:rsidRPr="00E77B7D" w:rsidRDefault="002F01DE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тоя на коленях и опираясь на выпрямлен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ные руки, втяните живот внутрь,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спи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на находится в прямом положении,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поднимите правую руку вверх, грудная клетка раскрывает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ся, взгляд в сторону кисти руки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задержитесь в таком статично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 положении на несколько секунд  дышите ровно,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затем опустите руку и проделайте то же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самое в противоположную сторону,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повторите упражнение несколько раз в обе стороны.</w:t>
      </w:r>
      <w:proofErr w:type="gramEnd"/>
    </w:p>
    <w:p w:rsidR="00E85EA2" w:rsidRPr="00E77B7D" w:rsidRDefault="00957A61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осле окончания выполнения упражнения опустите таз на стопы ног, выпря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мите руки, голову опустите вниз,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тело расслабьте,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сохраняйте ровное дыхание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это упражнение мож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но выполнять 2-3 раза в неделю,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сочетайте его с правильным питанием и добавьте ходьбу 2 раза в неделю, минимум по полчаса.</w:t>
      </w:r>
    </w:p>
    <w:p w:rsidR="00E85EA2" w:rsidRPr="00116212" w:rsidRDefault="00116212" w:rsidP="00E85EA2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="008B10A7" w:rsidRPr="001162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сложнения остеопороза</w:t>
      </w:r>
    </w:p>
    <w:p w:rsidR="00E85EA2" w:rsidRPr="00E77B7D" w:rsidRDefault="008B10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наиболее часто встречаются переломы тел позвонков, шейки бедра, 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лучевых костей,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по данным воз переломы бедренной кости ставят остеопороз на 4 место среди всех при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чин инвалидности и смертности. О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стеопороз уменьшает ожидаемую продолжительность жизни на 12 – 20%. первый перелом позвоночника в 4 раза увеличивает риск повторных переломов позвоноч</w:t>
      </w:r>
      <w:r w:rsidR="00957A61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ника и в 2 раза переломов бедра,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длительный постельный режим способствует развитию пневмоний, пролежней, </w:t>
      </w:r>
      <w:proofErr w:type="spell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тромбэмболий</w:t>
      </w:r>
      <w:proofErr w:type="spellEnd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.</w:t>
      </w:r>
    </w:p>
    <w:p w:rsidR="00E85EA2" w:rsidRPr="008B10A7" w:rsidRDefault="00E85EA2" w:rsidP="00E85EA2">
      <w:pPr>
        <w:shd w:val="clear" w:color="auto" w:fill="F3F3F3"/>
        <w:spacing w:after="150" w:line="357" w:lineRule="atLeast"/>
        <w:jc w:val="center"/>
        <w:rPr>
          <w:rFonts w:ascii="Times New Roman" w:eastAsia="Times New Roman" w:hAnsi="Times New Roman" w:cs="Times New Roman"/>
          <w:color w:val="516D7B"/>
          <w:sz w:val="21"/>
          <w:szCs w:val="21"/>
          <w:lang w:eastAsia="ru-RU"/>
        </w:rPr>
      </w:pPr>
      <w:r w:rsidRPr="008B10A7">
        <w:rPr>
          <w:rFonts w:ascii="Times New Roman" w:eastAsia="Times New Roman" w:hAnsi="Times New Roman" w:cs="Times New Roman"/>
          <w:noProof/>
          <w:color w:val="516D7B"/>
          <w:sz w:val="21"/>
          <w:szCs w:val="21"/>
          <w:lang w:eastAsia="ru-RU"/>
        </w:rPr>
        <w:drawing>
          <wp:inline distT="0" distB="0" distL="0" distR="0">
            <wp:extent cx="2695575" cy="2000250"/>
            <wp:effectExtent l="19050" t="0" r="9525" b="0"/>
            <wp:docPr id="6" name="Рисунок 6" descr="Осложнения остеоп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ложнения остеопороз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A2" w:rsidRPr="00116212" w:rsidRDefault="00116212" w:rsidP="00E85EA2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</w:t>
      </w:r>
      <w:r w:rsidR="008B10A7" w:rsidRPr="001162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рофилактика остеопороза </w:t>
      </w:r>
    </w:p>
    <w:p w:rsidR="00E85EA2" w:rsidRPr="00E77B7D" w:rsidRDefault="00957A61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У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потребление достаточного количества кальция – продукты, богатые кальцием (нежирные молочные продукты, брокколи, цветная капуста, мясо лосося, сыр, уменьшить продукты, содержащие фосфор (красное мясо, сладкие газированные напитки), ограничить алкоголь и кофеин, дос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таточная физическая активность 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рекомендованная доза кальция 1000 мг в день до 65 лет и 1500 мг в день после 65 лет.</w:t>
      </w:r>
      <w:proofErr w:type="gramEnd"/>
    </w:p>
    <w:p w:rsidR="00E85EA2" w:rsidRPr="00E77B7D" w:rsidRDefault="006A1AA7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proofErr w:type="gramStart"/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lastRenderedPageBreak/>
        <w:t>П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ри невозможности или малой эффективности обычных мер предупреждения болезни врачи всегда рекомендуют обратиться к средств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ам медикаментозной профилактики,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ситуации с профилактикой остеопороза подобрать эффективное сре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дство оказывается не так просто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дело в том, что наличием одного лишь кальция в препарате проблему его дефицит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а в организме решить невозможно  он почти не будет усваиваться,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оптимальным решением в данном случае является присутствие в лекарстве</w:t>
      </w:r>
      <w:proofErr w:type="gramEnd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необходимого соотношения к</w:t>
      </w:r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альция и витамина</w:t>
      </w:r>
      <w:proofErr w:type="gramStart"/>
      <w:r w:rsidR="00517DAD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.</w:t>
      </w:r>
      <w:proofErr w:type="gramEnd"/>
    </w:p>
    <w:p w:rsidR="00E85EA2" w:rsidRPr="00E77B7D" w:rsidRDefault="00517DAD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П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рофилактикой остеопороза яв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ляются здоровый образ жизни,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в период климакса (в период менопаузы для профилактики остеопороза назначают эстрогены — внутрь или в форме подкожных имплантатов), регулярны</w:t>
      </w:r>
      <w:r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е посильные физические нагрузки </w:t>
      </w:r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после 40 лет всем женщинам без исключения следует проверить </w:t>
      </w:r>
      <w:proofErr w:type="spellStart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>функкционирование</w:t>
      </w:r>
      <w:proofErr w:type="spellEnd"/>
      <w:r w:rsidR="008B10A7" w:rsidRPr="00E77B7D"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  <w:t xml:space="preserve"> своей щитовидной железы и при необходимости провести лечение.</w:t>
      </w:r>
    </w:p>
    <w:p w:rsidR="00DA66EA" w:rsidRPr="008B10A7" w:rsidRDefault="00DA66EA" w:rsidP="00E85EA2">
      <w:pPr>
        <w:shd w:val="clear" w:color="auto" w:fill="F3F3F3"/>
        <w:spacing w:after="150" w:line="357" w:lineRule="atLeast"/>
        <w:rPr>
          <w:rFonts w:ascii="Times New Roman" w:eastAsia="Times New Roman" w:hAnsi="Times New Roman" w:cs="Times New Roman"/>
          <w:color w:val="516D7B"/>
          <w:sz w:val="24"/>
          <w:szCs w:val="24"/>
          <w:lang w:eastAsia="ru-RU"/>
        </w:rPr>
      </w:pPr>
    </w:p>
    <w:p w:rsidR="00E85EA2" w:rsidRPr="008B10A7" w:rsidRDefault="008B10A7" w:rsidP="00DA66EA">
      <w:pPr>
        <w:tabs>
          <w:tab w:val="left" w:pos="1470"/>
        </w:tabs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B1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85EA2" w:rsidRPr="008B10A7" w:rsidSect="004C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E45"/>
    <w:multiLevelType w:val="multilevel"/>
    <w:tmpl w:val="B31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A199F"/>
    <w:multiLevelType w:val="multilevel"/>
    <w:tmpl w:val="47C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EA2"/>
    <w:rsid w:val="00116212"/>
    <w:rsid w:val="00177EED"/>
    <w:rsid w:val="00184F04"/>
    <w:rsid w:val="001C7AB4"/>
    <w:rsid w:val="001F1536"/>
    <w:rsid w:val="001F4D0A"/>
    <w:rsid w:val="0022795E"/>
    <w:rsid w:val="002F01DE"/>
    <w:rsid w:val="004C06D2"/>
    <w:rsid w:val="00517DAD"/>
    <w:rsid w:val="006208FD"/>
    <w:rsid w:val="006A1AA7"/>
    <w:rsid w:val="006F291B"/>
    <w:rsid w:val="0078020E"/>
    <w:rsid w:val="008B10A7"/>
    <w:rsid w:val="00957A61"/>
    <w:rsid w:val="00994B08"/>
    <w:rsid w:val="00AB42D6"/>
    <w:rsid w:val="00C316DC"/>
    <w:rsid w:val="00CD7261"/>
    <w:rsid w:val="00CF3AF2"/>
    <w:rsid w:val="00D5358B"/>
    <w:rsid w:val="00DA66EA"/>
    <w:rsid w:val="00E00499"/>
    <w:rsid w:val="00E54869"/>
    <w:rsid w:val="00E77B7D"/>
    <w:rsid w:val="00E82321"/>
    <w:rsid w:val="00E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D"/>
  </w:style>
  <w:style w:type="paragraph" w:styleId="2">
    <w:name w:val="heading 2"/>
    <w:basedOn w:val="a"/>
    <w:link w:val="20"/>
    <w:uiPriority w:val="9"/>
    <w:qFormat/>
    <w:rsid w:val="00E85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EA2"/>
    <w:rPr>
      <w:i/>
      <w:iCs/>
    </w:rPr>
  </w:style>
  <w:style w:type="character" w:customStyle="1" w:styleId="apple-converted-space">
    <w:name w:val="apple-converted-space"/>
    <w:basedOn w:val="a0"/>
    <w:rsid w:val="00E85EA2"/>
  </w:style>
  <w:style w:type="paragraph" w:customStyle="1" w:styleId="maintext1">
    <w:name w:val="maintext1"/>
    <w:basedOn w:val="a"/>
    <w:rsid w:val="00E8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E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2016-10-18T04:28:00Z</cp:lastPrinted>
  <dcterms:created xsi:type="dcterms:W3CDTF">2016-10-18T03:24:00Z</dcterms:created>
  <dcterms:modified xsi:type="dcterms:W3CDTF">2019-11-07T03:03:00Z</dcterms:modified>
</cp:coreProperties>
</file>